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processo-n.º-123424.5t8lsb"/>
    <w:p>
      <w:pPr>
        <w:pStyle w:val="Heading2"/>
      </w:pPr>
      <w:r>
        <w:t xml:space="preserve">Processo n.º 1234/24.5T8LSB</w:t>
      </w:r>
    </w:p>
    <w:p>
      <w:pPr>
        <w:pStyle w:val="FirstParagraph"/>
      </w:pPr>
      <w:r>
        <w:rPr>
          <w:b/>
          <w:bCs/>
        </w:rPr>
        <w:t xml:space="preserve">Vara Cível da Comarca de Lisboa</w:t>
      </w:r>
    </w:p>
    <w:bookmarkStart w:id="9" w:name="contestação"/>
    <w:p>
      <w:pPr>
        <w:pStyle w:val="Heading3"/>
      </w:pPr>
      <w:r>
        <w:t xml:space="preserve">Contestação</w:t>
      </w:r>
    </w:p>
    <w:p>
      <w:pPr>
        <w:pStyle w:val="FirstParagraph"/>
      </w:pPr>
      <w:r>
        <w:rPr>
          <w:b/>
          <w:bCs/>
        </w:rPr>
        <w:t xml:space="preserve">Requerente:</w:t>
      </w:r>
      <w:r>
        <w:t xml:space="preserve"> </w:t>
      </w:r>
      <w:r>
        <w:t xml:space="preserve">Empresa de Arrendamento Comercial, Lda., pessoa coletiva número 508 123 456, com sede na Avenida da Liberdade, n.º 245, 5.º B, 1250‑147 Lisboa, contribuinte nº 508123456.</w:t>
      </w:r>
    </w:p>
    <w:p>
      <w:pPr>
        <w:pStyle w:val="BodyText"/>
      </w:pPr>
      <w:r>
        <w:rPr>
          <w:b/>
          <w:bCs/>
        </w:rPr>
        <w:t xml:space="preserve">Réu:</w:t>
      </w:r>
      <w:r>
        <w:t xml:space="preserve"> </w:t>
      </w:r>
      <w:r>
        <w:t xml:space="preserve">João da Silva, pessoa singular número 213 456 789, residente em Rua do Carmo, n.º 12, 3.º Dt, 1200‑098 Lisboa, contribuinte nº 213456789.</w:t>
      </w:r>
    </w:p>
    <w:p>
      <w:pPr>
        <w:pStyle w:val="BodyText"/>
      </w:pPr>
      <w:r>
        <w:rPr>
          <w:b/>
          <w:bCs/>
        </w:rPr>
        <w:t xml:space="preserve">Mandatário do Réu:</w:t>
      </w:r>
      <w:r>
        <w:t xml:space="preserve"> </w:t>
      </w:r>
      <w:r>
        <w:t xml:space="preserve">Dr. Ana Martins, advogado, OAB Lisboa n.º 12345, com escritório na Rua de São Bento, n.º 78, 2.º Esq, 1200‑821 Lisboa; e Dr. Luís Pereira, advogado, OAB Lisboa n.º 67890, com escritório na Avenida das Descobertas, n.º 34, 4.º Df, 1400‑038 Lisboa.</w:t>
      </w:r>
    </w:p>
    <w:p>
      <w:pPr>
        <w:pStyle w:val="BodyText"/>
      </w:pPr>
      <w:r>
        <w:rPr>
          <w:b/>
          <w:bCs/>
        </w:rPr>
        <w:t xml:space="preserve">Juiz:</w:t>
      </w:r>
      <w:r>
        <w:t xml:space="preserve"> </w:t>
      </w:r>
      <w:r>
        <w:t xml:space="preserve">Juiz de Direito da Vara Cível de Lisboa</w:t>
      </w:r>
    </w:p>
    <w:p>
      <w:pPr>
        <w:pStyle w:val="BodyText"/>
      </w:pPr>
      <w:r>
        <w:rPr>
          <w:b/>
          <w:bCs/>
        </w:rPr>
        <w:t xml:space="preserve">Lisboa, 20 de fevereiro de 2026</w:t>
      </w:r>
    </w:p>
    <w:p>
      <w:r>
        <w:pict>
          <v:rect style="width:0;height:1.5pt" o:hralign="center" o:hrstd="t" o:hr="t"/>
        </w:pict>
      </w:r>
    </w:p>
    <w:bookmarkEnd w:id="9"/>
    <w:bookmarkStart w:id="10" w:name="i-preliminares"/>
    <w:p>
      <w:pPr>
        <w:pStyle w:val="Heading3"/>
      </w:pPr>
      <w:r>
        <w:t xml:space="preserve">I – Preliminares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Inépcia da petição inicial</w:t>
      </w:r>
      <w:r>
        <w:t xml:space="preserve"> </w:t>
      </w:r>
      <w:r>
        <w:t xml:space="preserve">– O requerente não indicou de forma clara e suficiente o fundamento legal da pretensão de</w:t>
      </w:r>
      <w:r>
        <w:t xml:space="preserve"> </w:t>
      </w:r>
      <w:r>
        <w:rPr>
          <w:b/>
          <w:bCs/>
        </w:rPr>
        <w:t xml:space="preserve">caducidade</w:t>
      </w:r>
      <w:r>
        <w:t xml:space="preserve"> </w:t>
      </w:r>
      <w:r>
        <w:t xml:space="preserve">do contrato, limitando‑se a mencionar o incumprimento de rendas, sem indicar o artigo específico do Código Civil invocado nem a existência de notificação prévia com prazo de cure, nos termos do art.º 1074.º do CC.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Inexistência de legitimidade ativa</w:t>
      </w:r>
      <w:r>
        <w:t xml:space="preserve"> </w:t>
      </w:r>
      <w:r>
        <w:t xml:space="preserve">– A Empresa de Arrendamento Comercial, Lda., pretende agir em nome próprio, embora a titularidade do direito de despejo e de cobrança das rendas pertença ao senhorio, ora</w:t>
      </w:r>
      <w:r>
        <w:t xml:space="preserve"> </w:t>
      </w:r>
      <w:r>
        <w:rPr>
          <w:b/>
          <w:bCs/>
        </w:rPr>
        <w:t xml:space="preserve">Sr. Manuel Ferreira</w:t>
      </w:r>
      <w:r>
        <w:t xml:space="preserve">, que não figura como parte no presente processo. Assim, requer‑se a declaração de ilegitimidade ativa da parte autora.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Competência territorial</w:t>
      </w:r>
      <w:r>
        <w:t xml:space="preserve"> </w:t>
      </w:r>
      <w:r>
        <w:t xml:space="preserve">– O imóvel arrendado, sito em Rua da Boavista, n.º 56, 3.º C, 4100‑123 Porto, encontra‑se fora da circunscrição da Vara Cível de Lisboa. Nos termos do art.º 19.º do CPC, a competência territorial deve ser da Vara Cível da Comarca do Porto.</w:t>
      </w:r>
    </w:p>
    <w:p>
      <w:pPr>
        <w:pStyle w:val="FirstParagraph"/>
      </w:pPr>
      <w:r>
        <w:t xml:space="preserve">Em razão das preliminares acima expostas, requer‑se, nos termos do art.º 562.º, n.º 2, alínea “b” do CPC, que o processo seja extinto sem resolução de mérito.</w:t>
      </w:r>
    </w:p>
    <w:p>
      <w:r>
        <w:pict>
          <v:rect style="width:0;height:1.5pt" o:hralign="center" o:hrstd="t" o:hr="t"/>
        </w:pict>
      </w:r>
    </w:p>
    <w:bookmarkEnd w:id="10"/>
    <w:bookmarkStart w:id="11" w:name="ii-exposição-dos-factos"/>
    <w:p>
      <w:pPr>
        <w:pStyle w:val="Heading3"/>
      </w:pPr>
      <w:r>
        <w:t xml:space="preserve">II – Exposição dos Factos</w:t>
      </w:r>
    </w:p>
    <w:p>
      <w:pPr>
        <w:numPr>
          <w:ilvl w:val="0"/>
          <w:numId w:val="1002"/>
        </w:numPr>
      </w:pPr>
      <w:r>
        <w:t xml:space="preserve">O contrato de arrendamento comercial foi celebrado entre as partes em 15 de março de 2022, com prazo de duração de cinco (5) anos, tendo como objeto o estabelecimento comercial localizado na Rua da Boavista, n.º 56, 3.º C, Porto.</w:t>
      </w:r>
    </w:p>
    <w:p>
      <w:pPr>
        <w:numPr>
          <w:ilvl w:val="0"/>
          <w:numId w:val="1002"/>
        </w:numPr>
      </w:pPr>
      <w:r>
        <w:t xml:space="preserve">O réu cumpriu pontualmente o pagamento das rendas até ao mês de julho de 2023, totalizando € 12 500,00.</w:t>
      </w:r>
    </w:p>
    <w:p>
      <w:pPr>
        <w:numPr>
          <w:ilvl w:val="0"/>
          <w:numId w:val="1002"/>
        </w:numPr>
      </w:pPr>
      <w:r>
        <w:t xml:space="preserve">A partir de agosto de 2023, o requerente deixou de emitir as faturas de renda, alegando “problemas administrativos”. O réu, por seu turno, tentou regularizar a situação enviando, em 10 de agosto de 2023, comunicação escrita (doc. 1) solicitando a emissão das faturas em atraso.</w:t>
      </w:r>
    </w:p>
    <w:p>
      <w:pPr>
        <w:numPr>
          <w:ilvl w:val="0"/>
          <w:numId w:val="1002"/>
        </w:numPr>
      </w:pPr>
      <w:r>
        <w:t xml:space="preserve">Em 20 de setembro de 2023, o réu recebeu notificação da empresa requerente, datada de 18 de setembro de 2023, exigindo o pagamento de € 7 500,00 referentes a oito (8) meses de rendas supostamente em atraso, sob pena de despejo.</w:t>
      </w:r>
    </w:p>
    <w:p>
      <w:pPr>
        <w:numPr>
          <w:ilvl w:val="0"/>
          <w:numId w:val="1002"/>
        </w:numPr>
      </w:pPr>
      <w:r>
        <w:t xml:space="preserve">O réu, acreditando que a notificação era indevida, efetuou o pagamento de € 5 000,00 em 30 de setembro de 2023, mediante transferência bancária (doc. 2), e solicitou ao requerente a regularização das faturas.</w:t>
      </w:r>
    </w:p>
    <w:p>
      <w:pPr>
        <w:numPr>
          <w:ilvl w:val="0"/>
          <w:numId w:val="1002"/>
        </w:numPr>
      </w:pPr>
      <w:r>
        <w:t xml:space="preserve">Entre outubro de 2023 e março de 2024, o réu realizou obras de melhoria no imóvel (instalação de climatização, reforço da estrutura de suporte de prateleiras e renovação da iluminação), indispensáveis para a continuação da atividade comercial, tendo sido autorizadas verbalmente pelo representante do requerente, Sr. Manuel Ferreira, em reunião realizada a 12 de outubro de 2023 (acta de reunião – doc. 3).</w:t>
      </w:r>
    </w:p>
    <w:p>
      <w:pPr>
        <w:numPr>
          <w:ilvl w:val="0"/>
          <w:numId w:val="1002"/>
        </w:numPr>
      </w:pPr>
      <w:r>
        <w:t xml:space="preserve">O custo total das obras ascendia a € 18 300,00, comprovado por facturas (doc. 4). O requerente, entretanto, pretende reaver o valor das rendas supostamente em dívida, alegando a</w:t>
      </w:r>
      <w:r>
        <w:t xml:space="preserve"> </w:t>
      </w:r>
      <w:r>
        <w:rPr>
          <w:b/>
          <w:bCs/>
        </w:rPr>
        <w:t xml:space="preserve">caducidade</w:t>
      </w:r>
      <w:r>
        <w:t xml:space="preserve"> </w:t>
      </w:r>
      <w:r>
        <w:t xml:space="preserve">do contrato, e ainda requer a retenção das referidas obras.</w:t>
      </w:r>
    </w:p>
    <w:p>
      <w:r>
        <w:pict>
          <v:rect style="width:0;height:1.5pt" o:hralign="center" o:hrstd="t" o:hr="t"/>
        </w:pict>
      </w:r>
    </w:p>
    <w:bookmarkEnd w:id="11"/>
    <w:bookmarkStart w:id="17" w:name="iii-mérito"/>
    <w:p>
      <w:pPr>
        <w:pStyle w:val="Heading3"/>
      </w:pPr>
      <w:r>
        <w:t xml:space="preserve">III – Mérito</w:t>
      </w:r>
    </w:p>
    <w:bookmarkStart w:id="12" w:name="inexistência-de-caducidade-do-contrato"/>
    <w:p>
      <w:pPr>
        <w:pStyle w:val="Heading4"/>
      </w:pPr>
      <w:r>
        <w:t xml:space="preserve">1.</w:t>
      </w:r>
      <w:r>
        <w:t xml:space="preserve"> </w:t>
      </w:r>
      <w:r>
        <w:rPr>
          <w:b/>
          <w:bCs/>
        </w:rPr>
        <w:t xml:space="preserve">Inexistência de caducidade do contrato</w:t>
      </w:r>
    </w:p>
    <w:p>
      <w:pPr>
        <w:numPr>
          <w:ilvl w:val="0"/>
          <w:numId w:val="1003"/>
        </w:numPr>
      </w:pPr>
      <w:r>
        <w:t xml:space="preserve">Nos termos do art.º 1074.º, n.º 2 do Código Civil, a caducidade só ocorre quando o arrendatário deixa de pagar a renda por três (3) meses consecutivos,</w:t>
      </w:r>
      <w:r>
        <w:t xml:space="preserve"> </w:t>
      </w:r>
      <w:r>
        <w:rPr>
          <w:b/>
          <w:bCs/>
        </w:rPr>
        <w:t xml:space="preserve">após notificação judicial</w:t>
      </w:r>
      <w:r>
        <w:t xml:space="preserve"> </w:t>
      </w:r>
      <w:r>
        <w:t xml:space="preserve">ou extrajudicial com prazo de cure de quinze (15) dias.</w:t>
      </w:r>
    </w:p>
    <w:p>
      <w:pPr>
        <w:numPr>
          <w:ilvl w:val="0"/>
          <w:numId w:val="1003"/>
        </w:numPr>
      </w:pPr>
      <w:r>
        <w:t xml:space="preserve">O requerente nunca procedeu à notificação judicial nem concedeu prazo de cure. A notificação de 18 de setembro de 2023 não cumpre os requisitos legais, pois não foi acompanhada de requerimento de pagamento com prazo fixo, nem foi enviada por via judicial.</w:t>
      </w:r>
    </w:p>
    <w:p>
      <w:pPr>
        <w:numPr>
          <w:ilvl w:val="0"/>
          <w:numId w:val="1003"/>
        </w:numPr>
      </w:pPr>
      <w:r>
        <w:t xml:space="preserve">O réu, ao efetuar pagamento parcial de € 5 000,00, demonstra a intenção de cumprir a obrigação, afastando a hipótese de abandono ou inadimplemento grave.</w:t>
      </w:r>
    </w:p>
    <w:bookmarkEnd w:id="12"/>
    <w:bookmarkStart w:id="13" w:name="pagamentos-efetuados-e-compensação"/>
    <w:p>
      <w:pPr>
        <w:pStyle w:val="Heading4"/>
      </w:pPr>
      <w:r>
        <w:t xml:space="preserve">2.</w:t>
      </w:r>
      <w:r>
        <w:t xml:space="preserve"> </w:t>
      </w:r>
      <w:r>
        <w:rPr>
          <w:b/>
          <w:bCs/>
        </w:rPr>
        <w:t xml:space="preserve">Pagamentos efetuados e compensação</w:t>
      </w:r>
    </w:p>
    <w:p>
      <w:pPr>
        <w:numPr>
          <w:ilvl w:val="0"/>
          <w:numId w:val="1004"/>
        </w:numPr>
      </w:pPr>
      <w:r>
        <w:t xml:space="preserve">O réu já pagou € 12 500,00 (rendas de 2022‑2023) e € 5 000,00 (valor parcial das rendas em atraso). Assim, o saldo devedor, se reconhecido, seria de € 2 500,00, e não dos € 7 500,00 alegados pelo requerente.</w:t>
      </w:r>
    </w:p>
    <w:p>
      <w:pPr>
        <w:numPr>
          <w:ilvl w:val="0"/>
          <w:numId w:val="1004"/>
        </w:numPr>
      </w:pPr>
      <w:r>
        <w:t xml:space="preserve">O réu requer a compensação desse saldo com o valor das obras realizadas, no montante de € 18 300,00, nos termos do art.º 442.º do Código Civil, por se tratar de despesas necessárias para a conservação do imóvel, autorizadas pelo senhorio.</w:t>
      </w:r>
    </w:p>
    <w:bookmarkEnd w:id="13"/>
    <w:bookmarkStart w:id="14" w:name="direito-à-indemnização-pelas-obras"/>
    <w:p>
      <w:pPr>
        <w:pStyle w:val="Heading4"/>
      </w:pPr>
      <w:r>
        <w:t xml:space="preserve">3.</w:t>
      </w:r>
      <w:r>
        <w:t xml:space="preserve"> </w:t>
      </w:r>
      <w:r>
        <w:rPr>
          <w:b/>
          <w:bCs/>
        </w:rPr>
        <w:t xml:space="preserve">Direito à indemnização pelas obras</w:t>
      </w:r>
    </w:p>
    <w:p>
      <w:pPr>
        <w:numPr>
          <w:ilvl w:val="0"/>
          <w:numId w:val="1005"/>
        </w:numPr>
      </w:pPr>
      <w:r>
        <w:t xml:space="preserve">As obras foram realizadas com autorização verbal do representante do senhorio, configurando</w:t>
      </w:r>
      <w:r>
        <w:t xml:space="preserve"> </w:t>
      </w:r>
      <w:r>
        <w:rPr>
          <w:b/>
          <w:bCs/>
        </w:rPr>
        <w:t xml:space="preserve">aceite tácito</w:t>
      </w:r>
      <w:r>
        <w:t xml:space="preserve"> </w:t>
      </w:r>
      <w:r>
        <w:t xml:space="preserve">da prestação.</w:t>
      </w:r>
    </w:p>
    <w:p>
      <w:pPr>
        <w:numPr>
          <w:ilvl w:val="0"/>
          <w:numId w:val="1005"/>
        </w:numPr>
      </w:pPr>
      <w:r>
        <w:t xml:space="preserve">O réu tem direito à</w:t>
      </w:r>
      <w:r>
        <w:t xml:space="preserve"> </w:t>
      </w:r>
      <w:r>
        <w:rPr>
          <w:b/>
          <w:bCs/>
        </w:rPr>
        <w:t xml:space="preserve">indemnização</w:t>
      </w:r>
      <w:r>
        <w:t xml:space="preserve"> </w:t>
      </w:r>
      <w:r>
        <w:t xml:space="preserve">dos custos suportados, nos termos do art.º 1072.º, n.º 2 do CC, bem como ao reembolso de despesas comprovadas (facturas e recibos).</w:t>
      </w:r>
    </w:p>
    <w:bookmarkEnd w:id="14"/>
    <w:bookmarkStart w:id="15" w:name="juros-moratórios-indevidos"/>
    <w:p>
      <w:pPr>
        <w:pStyle w:val="Heading4"/>
      </w:pPr>
      <w:r>
        <w:t xml:space="preserve">4.</w:t>
      </w:r>
      <w:r>
        <w:t xml:space="preserve"> </w:t>
      </w:r>
      <w:r>
        <w:rPr>
          <w:b/>
          <w:bCs/>
        </w:rPr>
        <w:t xml:space="preserve">Juros moratórios indevidos</w:t>
      </w:r>
    </w:p>
    <w:p>
      <w:pPr>
        <w:numPr>
          <w:ilvl w:val="0"/>
          <w:numId w:val="1006"/>
        </w:numPr>
      </w:pPr>
      <w:r>
        <w:t xml:space="preserve">Os juros moratórios pretendidos pelo requerente são ilegítimos, pois o réu não se encontra em mora, tendo efetuado pagamentos dentro dos prazos que lhe foram comunicados.</w:t>
      </w:r>
    </w:p>
    <w:p>
      <w:pPr>
        <w:numPr>
          <w:ilvl w:val="0"/>
          <w:numId w:val="1006"/>
        </w:numPr>
      </w:pPr>
      <w:r>
        <w:t xml:space="preserve">Ainda que se reconheça algum atraso, os juros devem ser calculados à taxa legal (art.º 408.º do CC) e não a taxa abusiva indicada na petição inicial.</w:t>
      </w:r>
    </w:p>
    <w:bookmarkEnd w:id="15"/>
    <w:bookmarkStart w:id="16" w:name="custas-processuais-e-honorários"/>
    <w:p>
      <w:pPr>
        <w:pStyle w:val="Heading4"/>
      </w:pPr>
      <w:r>
        <w:t xml:space="preserve">5.</w:t>
      </w:r>
      <w:r>
        <w:t xml:space="preserve"> </w:t>
      </w:r>
      <w:r>
        <w:rPr>
          <w:b/>
          <w:bCs/>
        </w:rPr>
        <w:t xml:space="preserve">Custas processuais e honorários</w:t>
      </w:r>
    </w:p>
    <w:p>
      <w:pPr>
        <w:pStyle w:val="Compact"/>
        <w:numPr>
          <w:ilvl w:val="0"/>
          <w:numId w:val="1007"/>
        </w:numPr>
      </w:pPr>
      <w:r>
        <w:t xml:space="preserve">Em caso de improcedência da ação, o requerente deverá ser condenado ao pagamento das custas e dos honorários de advogado do réu, nos termos do art.º 84.º do CPC.</w:t>
      </w:r>
    </w:p>
    <w:p>
      <w:r>
        <w:pict>
          <v:rect style="width:0;height:1.5pt" o:hralign="center" o:hrstd="t" o:hr="t"/>
        </w:pict>
      </w:r>
    </w:p>
    <w:bookmarkEnd w:id="16"/>
    <w:bookmarkEnd w:id="17"/>
    <w:bookmarkStart w:id="18" w:name="iv-pedido"/>
    <w:p>
      <w:pPr>
        <w:pStyle w:val="Heading3"/>
      </w:pPr>
      <w:r>
        <w:t xml:space="preserve">IV – Pedido</w:t>
      </w:r>
    </w:p>
    <w:p>
      <w:pPr>
        <w:pStyle w:val="FirstParagraph"/>
      </w:pPr>
      <w:r>
        <w:rPr>
          <w:b/>
          <w:bCs/>
        </w:rPr>
        <w:t xml:space="preserve">Pelo exposto, requer‑se a V. Exa.:</w:t>
      </w:r>
    </w:p>
    <w:p>
      <w:pPr>
        <w:numPr>
          <w:ilvl w:val="0"/>
          <w:numId w:val="1008"/>
        </w:numPr>
      </w:pPr>
      <w:r>
        <w:rPr>
          <w:b/>
          <w:bCs/>
        </w:rPr>
        <w:t xml:space="preserve">Que se declare a inexistência de caducidade</w:t>
      </w:r>
      <w:r>
        <w:t xml:space="preserve"> </w:t>
      </w:r>
      <w:r>
        <w:t xml:space="preserve">do contrato de arrendamento comercial, com a consequente</w:t>
      </w:r>
      <w:r>
        <w:t xml:space="preserve"> </w:t>
      </w:r>
      <w:r>
        <w:rPr>
          <w:b/>
          <w:bCs/>
        </w:rPr>
        <w:t xml:space="preserve">improcedência total</w:t>
      </w:r>
      <w:r>
        <w:t xml:space="preserve"> </w:t>
      </w:r>
      <w:r>
        <w:t xml:space="preserve">da ação de despejo e de cobrança.</w:t>
      </w:r>
    </w:p>
    <w:p>
      <w:pPr>
        <w:numPr>
          <w:ilvl w:val="0"/>
          <w:numId w:val="1008"/>
        </w:numPr>
      </w:pPr>
      <w:r>
        <w:rPr>
          <w:b/>
          <w:bCs/>
        </w:rPr>
        <w:t xml:space="preserve">Que se reconheça a compensação</w:t>
      </w:r>
      <w:r>
        <w:t xml:space="preserve"> </w:t>
      </w:r>
      <w:r>
        <w:t xml:space="preserve">do suposto débito de € 2 500,00 com o valor das obras realizadas, totalizando € 18 300,00, resultando numa</w:t>
      </w:r>
      <w:r>
        <w:t xml:space="preserve"> </w:t>
      </w:r>
      <w:r>
        <w:rPr>
          <w:b/>
          <w:bCs/>
        </w:rPr>
        <w:t xml:space="preserve">indemnização a favor do réu</w:t>
      </w:r>
      <w:r>
        <w:t xml:space="preserve"> </w:t>
      </w:r>
      <w:r>
        <w:t xml:space="preserve">no montante de € 15 800,00.</w:t>
      </w:r>
    </w:p>
    <w:p>
      <w:pPr>
        <w:numPr>
          <w:ilvl w:val="0"/>
          <w:numId w:val="1008"/>
        </w:numPr>
      </w:pPr>
      <w:r>
        <w:rPr>
          <w:b/>
          <w:bCs/>
        </w:rPr>
        <w:t xml:space="preserve">Que se condene o requerente</w:t>
      </w:r>
      <w:r>
        <w:t xml:space="preserve"> </w:t>
      </w:r>
      <w:r>
        <w:t xml:space="preserve">ao pagamento das custas processuais e dos honorários de advogado do réu, nos termos do art.º 84.º do CPC.</w:t>
      </w:r>
    </w:p>
    <w:p>
      <w:pPr>
        <w:numPr>
          <w:ilvl w:val="0"/>
          <w:numId w:val="1008"/>
        </w:numPr>
      </w:pPr>
      <w:r>
        <w:rPr>
          <w:b/>
          <w:bCs/>
        </w:rPr>
        <w:t xml:space="preserve">Subsidiariamente</w:t>
      </w:r>
      <w:r>
        <w:t xml:space="preserve">, caso V. Exa. entenda pela existência de algum débito, que se fixe o montante efetivo em € 2 500,00, com juros à taxa legal a partir da data do vencimento, e que se excluam os juros abusivos pretendidos.</w:t>
      </w:r>
    </w:p>
    <w:p>
      <w:pPr>
        <w:numPr>
          <w:ilvl w:val="0"/>
          <w:numId w:val="1008"/>
        </w:numPr>
      </w:pPr>
      <w:r>
        <w:rPr>
          <w:b/>
          <w:bCs/>
        </w:rPr>
        <w:t xml:space="preserve">Protesta‑se</w:t>
      </w:r>
      <w:r>
        <w:t xml:space="preserve"> </w:t>
      </w:r>
      <w:r>
        <w:t xml:space="preserve">por todos os meios de prova admitidos em direito, nomeadamente:</w:t>
      </w:r>
    </w:p>
    <w:tbl>
      <w:tblPr>
        <w:tblStyle w:val="Table"/>
        <w:tblW w:type="pct" w:w="5000"/>
        <w:jc w:val="left"/>
        <w:tblInd w:w="720" w:type="dxa"/>
        <w:tblLayout w:type="fixed"/>
        <w:tblLook w:firstRow="1" w:lastRow="0" w:firstColumn="0" w:lastColumn="0" w:noHBand="0" w:noVBand="0" w:val="0020"/>
      </w:tblPr>
      <w:tblGrid>
        <w:gridCol w:w="3080"/>
        <w:gridCol w:w="48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Prova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Documental</w:t>
            </w:r>
          </w:p>
        </w:tc>
        <w:tc>
          <w:tcPr/>
          <w:p>
            <w:pPr>
              <w:pStyle w:val="Compact"/>
            </w:pPr>
            <w:r>
              <w:t xml:space="preserve">Docs. 1 a 4 (correspondência, comprovativos de pagamento, acta de reunião, facturas).</w:t>
            </w:r>
          </w:p>
        </w:tc>
      </w:tr>
      <w:tr>
        <w:tc>
          <w:tcPr/>
          <w:p>
            <w:pPr>
              <w:pStyle w:val="Compact"/>
            </w:pPr>
            <w:r>
              <w:t xml:space="preserve">Testemunhal</w:t>
            </w:r>
          </w:p>
        </w:tc>
        <w:tc>
          <w:tcPr/>
          <w:p>
            <w:pPr>
              <w:pStyle w:val="Compact"/>
            </w:pPr>
            <w:r>
              <w:t xml:space="preserve">Sr. Manuel Ferreira (representante do requerente) e Sra. Carolina Lopes (gerente da empresa de climatização).</w:t>
            </w:r>
          </w:p>
        </w:tc>
      </w:tr>
      <w:tr>
        <w:tc>
          <w:tcPr/>
          <w:p>
            <w:pPr>
              <w:pStyle w:val="Compact"/>
            </w:pPr>
            <w:r>
              <w:t xml:space="preserve">Pericial</w:t>
            </w:r>
          </w:p>
        </w:tc>
        <w:tc>
          <w:tcPr/>
          <w:p>
            <w:pPr>
              <w:pStyle w:val="Compact"/>
            </w:pPr>
            <w:r>
              <w:t xml:space="preserve">Peritagem contabilística para apurar o saldo efetivo das rendas e o valor das obras.</w:t>
            </w:r>
          </w:p>
        </w:tc>
      </w:tr>
    </w:tbl>
    <w:p>
      <w:pPr>
        <w:numPr>
          <w:ilvl w:val="0"/>
          <w:numId w:val="1008"/>
        </w:numPr>
      </w:pPr>
      <w:r>
        <w:rPr>
          <w:b/>
          <w:bCs/>
        </w:rPr>
        <w:t xml:space="preserve">Que seja concedida</w:t>
      </w:r>
      <w:r>
        <w:t xml:space="preserve"> </w:t>
      </w:r>
      <w:r>
        <w:t xml:space="preserve">a tramitação prioritária, nos termos do art.º 71.º, n.º 2 do CPC, por se tratar de ação que afecta atividade comercial.</w:t>
      </w:r>
    </w:p>
    <w:p>
      <w:r>
        <w:pict>
          <v:rect style="width:0;height:1.5pt" o:hralign="center" o:hrstd="t" o:hr="t"/>
        </w:pict>
      </w:r>
    </w:p>
    <w:bookmarkEnd w:id="18"/>
    <w:bookmarkStart w:id="19" w:name="v-termos-em-que"/>
    <w:p>
      <w:pPr>
        <w:pStyle w:val="Heading3"/>
      </w:pPr>
      <w:r>
        <w:t xml:space="preserve">V – Termos em que,</w:t>
      </w:r>
    </w:p>
    <w:p>
      <w:pPr>
        <w:pStyle w:val="FirstParagraph"/>
      </w:pPr>
      <w:r>
        <w:t xml:space="preserve">Pede 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20 de fevereiro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 Ana Martins</w:t>
      </w:r>
      <w:r>
        <w:br/>
      </w:r>
      <w:r>
        <w:t xml:space="preserve">OAB Lisboa n.º 12345</w:t>
      </w:r>
    </w:p>
    <w:p>
      <w:pPr>
        <w:pStyle w:val="BodyText"/>
      </w:pPr>
      <w:r>
        <w:rPr>
          <w:b/>
          <w:bCs/>
        </w:rPr>
        <w:t xml:space="preserve">Dr. Luís Pereira</w:t>
      </w:r>
      <w:r>
        <w:br/>
      </w:r>
      <w:r>
        <w:t xml:space="preserve">OAB Lisboa n.º 67890</w:t>
      </w:r>
    </w:p>
    <w:p>
      <w:pPr>
        <w:pStyle w:val="BodyText"/>
      </w:pPr>
      <w:r>
        <w:rPr>
          <w:i/>
          <w:iCs/>
        </w:rPr>
        <w:t xml:space="preserve">Escritório: Rua de São Bento, n.º 78, 2.º Esq, 1200‑821 Lisboa</w:t>
      </w:r>
    </w:p>
    <w:bookmarkEnd w:id="19"/>
    <w:bookmarkEnd w:id="2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2026-02-22T19:19:51Z</dcterms:created>
  <dcterms:modified xsi:type="dcterms:W3CDTF">2026-02-22T19:19:51Z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